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BFA58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color w:val="auto"/>
          <w:lang w:val="es-MX"/>
        </w:rPr>
        <w:t>GRUPO DE PROCESOS - PROCESO - PROCEDIMIENTO:</w:t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Procesos de control - SARO - Monitoreo SARO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4213AF96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RESPONSABLE DEL PROCEDIMIENTO - SUPLENTES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Encargado del riesgo operativo - Gerencia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538C585B">
      <w:pPr>
        <w:numPr>
          <w:ilvl w:val="0"/>
          <w:numId w:val="1"/>
        </w:numPr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OBJETIVO: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Garantizar la vigencia e idoneidad del SARO implementado; evitando así exponer a COOPCALLEJONA a riesgos operativos y su consecuente materialización. </w:t>
      </w:r>
    </w:p>
    <w:p w14:paraId="2720DCC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</w:p>
    <w:p w14:paraId="64298C2B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RECURSOS NECESARIOS DURANTE LA EJECUCIÓN:</w:t>
      </w:r>
    </w:p>
    <w:p w14:paraId="41DA012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ES"/>
        </w:rPr>
        <w:br w:type="textWrapping"/>
      </w:r>
      <w:r>
        <w:rPr>
          <w:rFonts w:hint="default" w:ascii="Cambria" w:hAnsi="Cambria" w:cs="Cambria"/>
          <w:b/>
          <w:bCs w:val="0"/>
          <w:color w:val="auto"/>
          <w:lang w:val="es-MX"/>
        </w:rPr>
        <w:t>- ARCHIVOS/DOCUMENTOS:</w:t>
      </w:r>
    </w:p>
    <w:p w14:paraId="7D50ED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Digitales: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t>Matriz de riesgo operativo (excel).</w:t>
      </w:r>
    </w:p>
    <w:p w14:paraId="649DB7FE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4DFA4EF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CONEXIÓN/REDES/BASES DE DATOS:</w:t>
      </w:r>
    </w:p>
    <w:p w14:paraId="21F8034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N/A</w:t>
      </w:r>
    </w:p>
    <w:p w14:paraId="788D3BD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49B919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CONOCIMIENTOS ESPECIFICOS:</w:t>
      </w:r>
    </w:p>
    <w:p w14:paraId="6E8012D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Gestión del riesgo; procesos y procedimientos de coopcallejona; requerimientos especificos vigentes de la supersolidaria en materia de riesgos. </w:t>
      </w:r>
    </w:p>
    <w:p w14:paraId="1F39EE55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7153D7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DOCUMENTOS DE REFERENCIA:</w:t>
      </w:r>
    </w:p>
    <w:p w14:paraId="2BAE7B6B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Manual SARO; documentación existente de procesos y procedimientos; capitulo 4 del titulo 4 de la circular basica contable y financiera de la supersolidaria. </w:t>
      </w:r>
    </w:p>
    <w:p w14:paraId="2F06325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072237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- EQUIPOS/HERRAMIENTAS: </w:t>
      </w:r>
    </w:p>
    <w:p w14:paraId="3694FD5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Equipo de computo; papelería; impresora.</w:t>
      </w:r>
    </w:p>
    <w:p w14:paraId="5E3BC4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DC17A70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OUTPUTS/SALIDAS DEL PROCEDIMIENTO:</w:t>
      </w:r>
    </w:p>
    <w:p w14:paraId="2190974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</w:p>
    <w:p w14:paraId="5E266935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Actualización de documentación de procesos y procedimientos.</w:t>
      </w:r>
    </w:p>
    <w:p w14:paraId="2104348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Actualización de la matriz de riesgo operativo.</w:t>
      </w:r>
    </w:p>
    <w:p w14:paraId="7B8CF66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Acta de aprobación sobre las actualizaciones.</w:t>
      </w:r>
    </w:p>
    <w:p w14:paraId="649A51EB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7748099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72E1469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758CB6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C02133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3C64B0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2352122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DESCRIPCIÓN  DEL PROCEDIMIENTO:</w:t>
      </w:r>
    </w:p>
    <w:p w14:paraId="6798187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Este procedimiento se debe llevar a cabo anualmente, o en casos especiales cuando haya algún cambio en los servicios o actividades realizadas al interior de la organización. </w:t>
      </w:r>
    </w:p>
    <w:p w14:paraId="3B8C3BB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4682528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Se inicia revisando la documentación existente sobre procesos y procedimientos, se hacen las actualizaciones pertinentes según sea el caso, se procede a revisar el registro de eventos de riesgo; basado en esta observación se determina si se lleva a cabo el procedimiento “identificación y medición de riesgo operativo”; en la etapa final se consoloida el informe de riesgo operativo; en el cual deben exponerse las novedades, cambios y hallazgos hechos;  este informe debe ser aprobado por el consejo de administración, quienes deberán hacer las retroalimentaciones pertinentes frente al ejercicio SARO y los resultados del informe. Finalmente se implementan los cambios (si los hay) y se expone a los colaboradores el resultado de este informe, de ser el caso, también se debe transmitir las actualizaciones. </w:t>
      </w:r>
    </w:p>
    <w:p w14:paraId="5FE0D6C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86E63E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039980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907A2C4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LISTADO DE ACTIVIDADES Y RESPONSABLES:</w:t>
      </w:r>
      <w:bookmarkStart w:id="0" w:name="_GoBack"/>
      <w:bookmarkEnd w:id="0"/>
    </w:p>
    <w:p w14:paraId="5CEE6B9B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693B0E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2D3B92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FC6557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drawing>
          <wp:inline distT="0" distB="0" distL="114300" distR="114300">
            <wp:extent cx="5967095" cy="3715385"/>
            <wp:effectExtent l="0" t="0" r="6985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7095" cy="371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4DD5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7604803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D0C98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7B0AE85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FLUJOGRAMA DEL PROCEDIMIENTO:</w:t>
      </w:r>
    </w:p>
    <w:p w14:paraId="75ED6D99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909F77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130810</wp:posOffset>
            </wp:positionV>
            <wp:extent cx="4270375" cy="6784340"/>
            <wp:effectExtent l="0" t="0" r="12065" b="12700"/>
            <wp:wrapNone/>
            <wp:docPr id="2" name="Imagen 2" descr="MONITOR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MONITORE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0375" cy="678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24A26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2E6A8E6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558BE4F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635CFC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5C214A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3D7FB5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6EC078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</w:p>
    <w:p w14:paraId="09E2A70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117658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0738290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7D2B77F5">
      <w:pPr>
        <w:numPr>
          <w:ilvl w:val="0"/>
          <w:numId w:val="0"/>
        </w:numPr>
        <w:ind w:leftChars="0"/>
        <w:jc w:val="both"/>
        <w:rPr>
          <w:rFonts w:ascii="Arial" w:hAnsi="Arial" w:cs="Arial"/>
          <w:b/>
          <w:color w:val="008000"/>
          <w:lang w:val="es-ES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4F9EF857">
      <w:pPr>
        <w:pStyle w:val="13"/>
        <w:ind w:left="0" w:leftChars="0" w:firstLine="0" w:firstLineChars="0"/>
        <w:jc w:val="both"/>
      </w:pPr>
      <w:r>
        <w:rPr>
          <w:rFonts w:hint="default" w:ascii="Arial" w:hAnsi="Arial" w:cs="Arial"/>
          <w:b/>
          <w:color w:val="008000"/>
          <w:lang w:val="es-MX"/>
        </w:rPr>
        <w:t xml:space="preserve"> </w:t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0F713C73">
      <w:pPr>
        <w:pStyle w:val="13"/>
        <w:jc w:val="both"/>
        <w:rPr>
          <w:rFonts w:hint="default" w:ascii="Arial" w:hAnsi="Arial" w:cs="Arial"/>
          <w:b/>
          <w:color w:val="008000"/>
          <w:lang w:val="es-MX"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2242" w:h="15842"/>
      <w:pgMar w:top="1134" w:right="1134" w:bottom="1134" w:left="1701" w:header="567" w:footer="28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9D284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3085D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916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456"/>
      <w:gridCol w:w="4487"/>
      <w:gridCol w:w="2225"/>
    </w:tblGrid>
    <w:tr w14:paraId="6A7EE57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600" w:hRule="atLeast"/>
      </w:trPr>
      <w:tc>
        <w:tcPr>
          <w:tcW w:w="2456" w:type="dxa"/>
          <w:vAlign w:val="center"/>
        </w:tcPr>
        <w:p w14:paraId="43528E1D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</w:pPr>
          <w: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11430</wp:posOffset>
                </wp:positionV>
                <wp:extent cx="1482725" cy="807720"/>
                <wp:effectExtent l="0" t="0" r="0" b="0"/>
                <wp:wrapNone/>
                <wp:docPr id="1016906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6906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272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487" w:type="dxa"/>
          <w:vAlign w:val="center"/>
        </w:tcPr>
        <w:p w14:paraId="5122C4C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  <w:b/>
              <w:bCs/>
              <w:lang w:val="es-MX"/>
            </w:rPr>
          </w:pPr>
          <w:r>
            <w:rPr>
              <w:rFonts w:hint="default" w:ascii="Cambria" w:hAnsi="Cambria" w:cs="Cambria"/>
              <w:b/>
              <w:bCs/>
            </w:rPr>
            <w:t xml:space="preserve">MANUAL DE </w:t>
          </w:r>
          <w:r>
            <w:rPr>
              <w:rFonts w:hint="default" w:ascii="Cambria" w:hAnsi="Cambria" w:cs="Cambria"/>
              <w:b/>
              <w:bCs/>
              <w:lang w:val="es-MX"/>
            </w:rPr>
            <w:t>PROCEDIMIENTO:</w:t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t>MONITOREO SARO</w:t>
          </w:r>
        </w:p>
      </w:tc>
      <w:tc>
        <w:tcPr>
          <w:tcW w:w="2225" w:type="dxa"/>
          <w:vAlign w:val="center"/>
        </w:tcPr>
        <w:p w14:paraId="3B54483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>VERSIÓN: 1</w:t>
          </w:r>
        </w:p>
        <w:p w14:paraId="1B4ED90C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</w:p>
        <w:p w14:paraId="3DE3E2C1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 xml:space="preserve">FECHA CREACIÓN: </w:t>
          </w:r>
          <w:r>
            <w:rPr>
              <w:rFonts w:hint="default" w:ascii="Cambria" w:hAnsi="Cambria" w:cs="Cambria"/>
            </w:rPr>
            <w:br w:type="textWrapping"/>
          </w:r>
          <w:r>
            <w:rPr>
              <w:rFonts w:hint="default" w:ascii="Cambria" w:hAnsi="Cambria" w:cs="Cambria"/>
            </w:rPr>
            <w:t>JUNIO 2025</w:t>
          </w:r>
        </w:p>
      </w:tc>
    </w:tr>
  </w:tbl>
  <w:p w14:paraId="16403579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54F77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B3F90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B5B1B"/>
    <w:multiLevelType w:val="multilevel"/>
    <w:tmpl w:val="594B5B1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540"/>
        </w:tabs>
        <w:ind w:left="540" w:hanging="360"/>
      </w:pPr>
      <w:rPr>
        <w:rFonts w:hint="default"/>
        <w:b w:val="0"/>
      </w:rPr>
    </w:lvl>
    <w:lvl w:ilvl="2" w:tentative="0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 w:tentative="0">
      <w:start w:val="0"/>
      <w:numFmt w:val="bullet"/>
      <w:lvlText w:val="-"/>
      <w:lvlJc w:val="left"/>
      <w:pPr>
        <w:tabs>
          <w:tab w:val="left" w:pos="2685"/>
        </w:tabs>
        <w:ind w:left="2685" w:hanging="525"/>
      </w:pPr>
      <w:rPr>
        <w:rFonts w:hint="default" w:ascii="Arial" w:hAnsi="Arial" w:eastAsia="Times New Roman" w:cs="Arial"/>
      </w:r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CA"/>
    <w:rsid w:val="00010013"/>
    <w:rsid w:val="00010293"/>
    <w:rsid w:val="000128E7"/>
    <w:rsid w:val="00027431"/>
    <w:rsid w:val="00035F32"/>
    <w:rsid w:val="00042888"/>
    <w:rsid w:val="00045BA2"/>
    <w:rsid w:val="00047F99"/>
    <w:rsid w:val="0007322C"/>
    <w:rsid w:val="0007607A"/>
    <w:rsid w:val="000A058F"/>
    <w:rsid w:val="000A44B2"/>
    <w:rsid w:val="000A669F"/>
    <w:rsid w:val="000B4191"/>
    <w:rsid w:val="000D28CD"/>
    <w:rsid w:val="000F6700"/>
    <w:rsid w:val="00126B64"/>
    <w:rsid w:val="00140CFE"/>
    <w:rsid w:val="00141619"/>
    <w:rsid w:val="00141C13"/>
    <w:rsid w:val="001572C5"/>
    <w:rsid w:val="00172E92"/>
    <w:rsid w:val="00185F92"/>
    <w:rsid w:val="001D338C"/>
    <w:rsid w:val="001D77DB"/>
    <w:rsid w:val="001F0FA9"/>
    <w:rsid w:val="002000DB"/>
    <w:rsid w:val="00212CB2"/>
    <w:rsid w:val="00215F94"/>
    <w:rsid w:val="00236F33"/>
    <w:rsid w:val="00245D90"/>
    <w:rsid w:val="00253509"/>
    <w:rsid w:val="002755D1"/>
    <w:rsid w:val="00282D43"/>
    <w:rsid w:val="0028700B"/>
    <w:rsid w:val="00290BF4"/>
    <w:rsid w:val="002B096D"/>
    <w:rsid w:val="002B20F8"/>
    <w:rsid w:val="002C7C13"/>
    <w:rsid w:val="002F7825"/>
    <w:rsid w:val="0030063B"/>
    <w:rsid w:val="00340496"/>
    <w:rsid w:val="00352028"/>
    <w:rsid w:val="003978F0"/>
    <w:rsid w:val="003C1495"/>
    <w:rsid w:val="003D139D"/>
    <w:rsid w:val="003F6978"/>
    <w:rsid w:val="00403A40"/>
    <w:rsid w:val="00422EF8"/>
    <w:rsid w:val="0044094D"/>
    <w:rsid w:val="00474EF6"/>
    <w:rsid w:val="004934B2"/>
    <w:rsid w:val="004C00E4"/>
    <w:rsid w:val="00505BCB"/>
    <w:rsid w:val="005246F6"/>
    <w:rsid w:val="005253E9"/>
    <w:rsid w:val="00525EEA"/>
    <w:rsid w:val="0053366D"/>
    <w:rsid w:val="0056111C"/>
    <w:rsid w:val="0057460A"/>
    <w:rsid w:val="00590291"/>
    <w:rsid w:val="005963B4"/>
    <w:rsid w:val="005A4BCC"/>
    <w:rsid w:val="005C6BC2"/>
    <w:rsid w:val="006009CD"/>
    <w:rsid w:val="006037A7"/>
    <w:rsid w:val="0062502D"/>
    <w:rsid w:val="00627BF6"/>
    <w:rsid w:val="00665759"/>
    <w:rsid w:val="006B1D12"/>
    <w:rsid w:val="006C0217"/>
    <w:rsid w:val="006E3CB3"/>
    <w:rsid w:val="00701183"/>
    <w:rsid w:val="00711A26"/>
    <w:rsid w:val="0073603D"/>
    <w:rsid w:val="007553CA"/>
    <w:rsid w:val="0077401D"/>
    <w:rsid w:val="00786850"/>
    <w:rsid w:val="00794550"/>
    <w:rsid w:val="007B0C2C"/>
    <w:rsid w:val="007B161B"/>
    <w:rsid w:val="007E375B"/>
    <w:rsid w:val="00831891"/>
    <w:rsid w:val="0083587F"/>
    <w:rsid w:val="00847CC0"/>
    <w:rsid w:val="008811D7"/>
    <w:rsid w:val="008A010A"/>
    <w:rsid w:val="008C63E6"/>
    <w:rsid w:val="008E6DBE"/>
    <w:rsid w:val="009254D8"/>
    <w:rsid w:val="009404AD"/>
    <w:rsid w:val="00952A61"/>
    <w:rsid w:val="00960F1D"/>
    <w:rsid w:val="00970DCD"/>
    <w:rsid w:val="009931A3"/>
    <w:rsid w:val="00996107"/>
    <w:rsid w:val="009C3C61"/>
    <w:rsid w:val="009C7219"/>
    <w:rsid w:val="009D18DB"/>
    <w:rsid w:val="009D49BB"/>
    <w:rsid w:val="009F526F"/>
    <w:rsid w:val="00A2741D"/>
    <w:rsid w:val="00A54488"/>
    <w:rsid w:val="00A566C0"/>
    <w:rsid w:val="00A66AEA"/>
    <w:rsid w:val="00AA0759"/>
    <w:rsid w:val="00AA5BA7"/>
    <w:rsid w:val="00AA6B95"/>
    <w:rsid w:val="00AC4FF9"/>
    <w:rsid w:val="00AD7E61"/>
    <w:rsid w:val="00B14789"/>
    <w:rsid w:val="00B16D8F"/>
    <w:rsid w:val="00B60B8F"/>
    <w:rsid w:val="00B650D5"/>
    <w:rsid w:val="00B726B5"/>
    <w:rsid w:val="00B74932"/>
    <w:rsid w:val="00BB7CFB"/>
    <w:rsid w:val="00C0346B"/>
    <w:rsid w:val="00C72FE3"/>
    <w:rsid w:val="00CA5811"/>
    <w:rsid w:val="00CA7CC8"/>
    <w:rsid w:val="00CB737D"/>
    <w:rsid w:val="00CF746C"/>
    <w:rsid w:val="00D31C60"/>
    <w:rsid w:val="00D52378"/>
    <w:rsid w:val="00D72B5F"/>
    <w:rsid w:val="00D7348C"/>
    <w:rsid w:val="00D831E9"/>
    <w:rsid w:val="00DA3094"/>
    <w:rsid w:val="00E2122F"/>
    <w:rsid w:val="00E37934"/>
    <w:rsid w:val="00E57347"/>
    <w:rsid w:val="00E66268"/>
    <w:rsid w:val="00EA0DC5"/>
    <w:rsid w:val="00EA52B8"/>
    <w:rsid w:val="00ED6C8B"/>
    <w:rsid w:val="00F72491"/>
    <w:rsid w:val="00F80469"/>
    <w:rsid w:val="00F80DB1"/>
    <w:rsid w:val="00FB299F"/>
    <w:rsid w:val="00FC0CB5"/>
    <w:rsid w:val="00FC2AF6"/>
    <w:rsid w:val="00FD41AE"/>
    <w:rsid w:val="08353994"/>
    <w:rsid w:val="0BF910B7"/>
    <w:rsid w:val="12933DEA"/>
    <w:rsid w:val="2A955BB1"/>
    <w:rsid w:val="2AFA5E62"/>
    <w:rsid w:val="359D5541"/>
    <w:rsid w:val="55AB2EF8"/>
    <w:rsid w:val="7A60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CO" w:eastAsia="es-ES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jc w:val="center"/>
      <w:outlineLvl w:val="2"/>
    </w:pPr>
    <w:rPr>
      <w:rFonts w:ascii="Arial" w:hAnsi="Arial"/>
      <w:b/>
      <w:sz w:val="16"/>
      <w:szCs w:val="16"/>
      <w:lang w:val="es-ES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qFormat/>
    <w:uiPriority w:val="0"/>
  </w:style>
  <w:style w:type="paragraph" w:styleId="6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1"/>
    <w:qFormat/>
    <w:uiPriority w:val="0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2"/>
    <w:qFormat/>
    <w:uiPriority w:val="0"/>
    <w:pPr>
      <w:tabs>
        <w:tab w:val="center" w:pos="4252"/>
        <w:tab w:val="right" w:pos="8504"/>
      </w:tabs>
    </w:pPr>
  </w:style>
  <w:style w:type="table" w:styleId="9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Título 3 Car"/>
    <w:basedOn w:val="3"/>
    <w:link w:val="2"/>
    <w:qFormat/>
    <w:uiPriority w:val="0"/>
    <w:rPr>
      <w:rFonts w:ascii="Arial" w:hAnsi="Arial" w:eastAsia="Times New Roman" w:cs="Times New Roman"/>
      <w:b/>
      <w:sz w:val="16"/>
      <w:szCs w:val="16"/>
      <w:lang w:val="es-ES" w:eastAsia="es-ES"/>
    </w:rPr>
  </w:style>
  <w:style w:type="character" w:customStyle="1" w:styleId="11">
    <w:name w:val="Encabezado Car"/>
    <w:basedOn w:val="3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customStyle="1" w:styleId="12">
    <w:name w:val="Pie de página Car"/>
    <w:basedOn w:val="3"/>
    <w:link w:val="8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de globo Car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</Words>
  <Characters>877</Characters>
  <Lines>7</Lines>
  <Paragraphs>2</Paragraphs>
  <TotalTime>0</TotalTime>
  <ScaleCrop>false</ScaleCrop>
  <LinksUpToDate>false</LinksUpToDate>
  <CharactersWithSpaces>1034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2021-07-08T15:29:00Z</dcterms:created>
  <dc:creator>ricar</dc:creator>
  <cp:lastModifiedBy>ricardo gamboa</cp:lastModifiedBy>
  <cp:lastPrinted>2017-11-07T19:37:00Z</cp:lastPrinted>
  <dcterms:modified xsi:type="dcterms:W3CDTF">2025-09-19T13:28:15Z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2058-12.2.0.22549</vt:lpwstr>
  </property>
  <property fmtid="{D5CDD505-2E9C-101B-9397-08002B2CF9AE}" pid="3" name="ICV">
    <vt:lpwstr>55EE150E716746C5A766C448BD25B7A6_12</vt:lpwstr>
  </property>
</Properties>
</file>